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2F" w:rsidRDefault="00914561" w:rsidP="00914561">
      <w:pPr>
        <w:jc w:val="center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Comparing Rates of Change Exit Ticket</w:t>
      </w:r>
    </w:p>
    <w:p w:rsidR="00914561" w:rsidRPr="00BB2428" w:rsidRDefault="00914561" w:rsidP="00914561">
      <w:pPr>
        <w:pStyle w:val="Default"/>
        <w:spacing w:before="100" w:after="240"/>
        <w:rPr>
          <w:rFonts w:ascii="Arial" w:hAnsi="Arial" w:cs="Arial"/>
          <w:szCs w:val="72"/>
        </w:rPr>
      </w:pPr>
      <w:r w:rsidRPr="00BB2428">
        <w:rPr>
          <w:rFonts w:ascii="Arial" w:hAnsi="Arial" w:cs="Arial"/>
          <w:szCs w:val="72"/>
        </w:rPr>
        <w:t xml:space="preserve">6. The three different linear functions below are represented in three different ways, as shown. </w:t>
      </w:r>
    </w:p>
    <w:p w:rsidR="00914561" w:rsidRPr="00BB2428" w:rsidRDefault="00914561" w:rsidP="00914561">
      <w:pPr>
        <w:pStyle w:val="Default"/>
        <w:spacing w:before="100" w:after="240"/>
        <w:rPr>
          <w:rFonts w:ascii="Arial" w:hAnsi="Arial" w:cs="Arial"/>
          <w:b/>
          <w:bCs/>
          <w:szCs w:val="72"/>
        </w:rPr>
      </w:pPr>
      <w:r w:rsidRPr="00BB2428">
        <w:rPr>
          <w:rFonts w:ascii="Arial" w:hAnsi="Arial" w:cs="Arial"/>
          <w:szCs w:val="72"/>
        </w:rPr>
        <w:t xml:space="preserve">Which function has the greatest rate of change? Does any pair of functions have the same rate of change? </w:t>
      </w:r>
      <w:r w:rsidRPr="00BB2428">
        <w:rPr>
          <w:rFonts w:ascii="Arial" w:hAnsi="Arial" w:cs="Arial"/>
          <w:b/>
          <w:bCs/>
          <w:szCs w:val="72"/>
        </w:rPr>
        <w:t xml:space="preserve">Justify your answer. </w:t>
      </w:r>
    </w:p>
    <w:tbl>
      <w:tblPr>
        <w:tblStyle w:val="TableGrid"/>
        <w:tblpPr w:leftFromText="180" w:rightFromText="180" w:vertAnchor="text" w:horzAnchor="page" w:tblpX="5733" w:tblpY="-143"/>
        <w:tblW w:w="0" w:type="auto"/>
        <w:tblLook w:val="04A0" w:firstRow="1" w:lastRow="0" w:firstColumn="1" w:lastColumn="0" w:noHBand="0" w:noVBand="1"/>
      </w:tblPr>
      <w:tblGrid>
        <w:gridCol w:w="1534"/>
        <w:gridCol w:w="1534"/>
      </w:tblGrid>
      <w:tr w:rsidR="00914561" w:rsidRPr="00BB2428" w:rsidTr="00914561">
        <w:trPr>
          <w:trHeight w:val="611"/>
        </w:trPr>
        <w:tc>
          <w:tcPr>
            <w:tcW w:w="1534" w:type="dxa"/>
          </w:tcPr>
          <w:p w:rsidR="00914561" w:rsidRPr="00BB2428" w:rsidRDefault="00914561" w:rsidP="00914561">
            <w:pPr>
              <w:pStyle w:val="Default"/>
              <w:spacing w:before="100" w:after="240"/>
              <w:ind w:left="360"/>
              <w:rPr>
                <w:rFonts w:ascii="Arial" w:hAnsi="Arial" w:cs="Arial"/>
                <w:b/>
                <w:bCs/>
                <w:szCs w:val="72"/>
              </w:rPr>
            </w:pPr>
            <w:r w:rsidRPr="00BB2428">
              <w:rPr>
                <w:rFonts w:ascii="Arial" w:hAnsi="Arial" w:cs="Arial"/>
                <w:b/>
                <w:bCs/>
                <w:szCs w:val="72"/>
              </w:rPr>
              <w:t>x</w:t>
            </w:r>
          </w:p>
        </w:tc>
        <w:tc>
          <w:tcPr>
            <w:tcW w:w="1534" w:type="dxa"/>
          </w:tcPr>
          <w:p w:rsidR="00914561" w:rsidRPr="00BB2428" w:rsidRDefault="00914561" w:rsidP="00914561">
            <w:pPr>
              <w:pStyle w:val="Default"/>
              <w:spacing w:before="100" w:after="240"/>
              <w:ind w:left="360"/>
              <w:jc w:val="center"/>
              <w:rPr>
                <w:rFonts w:ascii="Arial" w:hAnsi="Arial" w:cs="Arial"/>
                <w:b/>
                <w:bCs/>
                <w:szCs w:val="72"/>
              </w:rPr>
            </w:pPr>
            <w:r w:rsidRPr="00BB2428">
              <w:rPr>
                <w:rFonts w:ascii="Arial" w:hAnsi="Arial" w:cs="Arial"/>
                <w:b/>
                <w:bCs/>
                <w:szCs w:val="72"/>
              </w:rPr>
              <w:t>y</w:t>
            </w:r>
          </w:p>
        </w:tc>
      </w:tr>
      <w:tr w:rsidR="00914561" w:rsidRPr="00BB2428" w:rsidTr="00914561">
        <w:trPr>
          <w:trHeight w:val="611"/>
        </w:trPr>
        <w:tc>
          <w:tcPr>
            <w:tcW w:w="1534" w:type="dxa"/>
          </w:tcPr>
          <w:p w:rsidR="00914561" w:rsidRPr="00BB2428" w:rsidRDefault="00914561" w:rsidP="00510E2C">
            <w:pPr>
              <w:pStyle w:val="Default"/>
              <w:spacing w:before="100" w:after="240"/>
              <w:jc w:val="center"/>
              <w:rPr>
                <w:rFonts w:ascii="Arial" w:hAnsi="Arial" w:cs="Arial"/>
                <w:b/>
                <w:bCs/>
                <w:szCs w:val="72"/>
              </w:rPr>
            </w:pPr>
            <w:r w:rsidRPr="00BB2428">
              <w:rPr>
                <w:rFonts w:ascii="Arial" w:hAnsi="Arial" w:cs="Arial"/>
                <w:b/>
                <w:bCs/>
                <w:szCs w:val="72"/>
              </w:rPr>
              <w:t>-2</w:t>
            </w:r>
          </w:p>
        </w:tc>
        <w:tc>
          <w:tcPr>
            <w:tcW w:w="1534" w:type="dxa"/>
          </w:tcPr>
          <w:p w:rsidR="00914561" w:rsidRPr="00BB2428" w:rsidRDefault="00914561" w:rsidP="00510E2C">
            <w:pPr>
              <w:pStyle w:val="Default"/>
              <w:spacing w:before="100" w:after="240"/>
              <w:jc w:val="center"/>
              <w:rPr>
                <w:rFonts w:ascii="Arial" w:hAnsi="Arial" w:cs="Arial"/>
                <w:b/>
                <w:bCs/>
                <w:szCs w:val="72"/>
              </w:rPr>
            </w:pPr>
            <w:bookmarkStart w:id="0" w:name="_GoBack"/>
            <w:bookmarkEnd w:id="0"/>
            <w:r w:rsidRPr="00BB2428">
              <w:rPr>
                <w:rFonts w:ascii="Arial" w:hAnsi="Arial" w:cs="Arial"/>
                <w:b/>
                <w:bCs/>
                <w:szCs w:val="72"/>
              </w:rPr>
              <w:t>10</w:t>
            </w:r>
          </w:p>
        </w:tc>
      </w:tr>
      <w:tr w:rsidR="00914561" w:rsidRPr="00BB2428" w:rsidTr="00914561">
        <w:trPr>
          <w:trHeight w:val="611"/>
        </w:trPr>
        <w:tc>
          <w:tcPr>
            <w:tcW w:w="1534" w:type="dxa"/>
          </w:tcPr>
          <w:p w:rsidR="00914561" w:rsidRPr="00BB2428" w:rsidRDefault="00914561" w:rsidP="00510E2C">
            <w:pPr>
              <w:pStyle w:val="Default"/>
              <w:spacing w:before="100" w:after="240"/>
              <w:jc w:val="center"/>
              <w:rPr>
                <w:rFonts w:ascii="Arial" w:hAnsi="Arial" w:cs="Arial"/>
                <w:b/>
                <w:bCs/>
                <w:szCs w:val="72"/>
              </w:rPr>
            </w:pPr>
            <w:r w:rsidRPr="00BB2428">
              <w:rPr>
                <w:rFonts w:ascii="Arial" w:hAnsi="Arial" w:cs="Arial"/>
                <w:b/>
                <w:bCs/>
                <w:szCs w:val="72"/>
              </w:rPr>
              <w:t>0</w:t>
            </w:r>
          </w:p>
        </w:tc>
        <w:tc>
          <w:tcPr>
            <w:tcW w:w="1534" w:type="dxa"/>
          </w:tcPr>
          <w:p w:rsidR="00914561" w:rsidRPr="00BB2428" w:rsidRDefault="00914561" w:rsidP="00510E2C">
            <w:pPr>
              <w:pStyle w:val="Default"/>
              <w:spacing w:before="100" w:after="240"/>
              <w:jc w:val="center"/>
              <w:rPr>
                <w:rFonts w:ascii="Arial" w:hAnsi="Arial" w:cs="Arial"/>
                <w:b/>
                <w:bCs/>
                <w:szCs w:val="72"/>
              </w:rPr>
            </w:pPr>
            <w:r w:rsidRPr="00BB2428">
              <w:rPr>
                <w:rFonts w:ascii="Arial" w:hAnsi="Arial" w:cs="Arial"/>
                <w:b/>
                <w:bCs/>
                <w:szCs w:val="72"/>
              </w:rPr>
              <w:t>12</w:t>
            </w:r>
          </w:p>
        </w:tc>
      </w:tr>
      <w:tr w:rsidR="00914561" w:rsidRPr="00BB2428" w:rsidTr="00914561">
        <w:trPr>
          <w:trHeight w:val="611"/>
        </w:trPr>
        <w:tc>
          <w:tcPr>
            <w:tcW w:w="1534" w:type="dxa"/>
          </w:tcPr>
          <w:p w:rsidR="00914561" w:rsidRPr="00BB2428" w:rsidRDefault="00914561" w:rsidP="00510E2C">
            <w:pPr>
              <w:pStyle w:val="Default"/>
              <w:spacing w:before="100" w:after="240"/>
              <w:jc w:val="center"/>
              <w:rPr>
                <w:rFonts w:ascii="Arial" w:hAnsi="Arial" w:cs="Arial"/>
                <w:b/>
                <w:bCs/>
                <w:szCs w:val="72"/>
              </w:rPr>
            </w:pPr>
            <w:r w:rsidRPr="00BB2428">
              <w:rPr>
                <w:rFonts w:ascii="Arial" w:hAnsi="Arial" w:cs="Arial"/>
                <w:b/>
                <w:bCs/>
                <w:szCs w:val="72"/>
              </w:rPr>
              <w:t>2</w:t>
            </w:r>
          </w:p>
        </w:tc>
        <w:tc>
          <w:tcPr>
            <w:tcW w:w="1534" w:type="dxa"/>
          </w:tcPr>
          <w:p w:rsidR="00914561" w:rsidRPr="00BB2428" w:rsidRDefault="00914561" w:rsidP="00510E2C">
            <w:pPr>
              <w:pStyle w:val="Default"/>
              <w:spacing w:before="100" w:after="240"/>
              <w:jc w:val="center"/>
              <w:rPr>
                <w:rFonts w:ascii="Arial" w:hAnsi="Arial" w:cs="Arial"/>
                <w:b/>
                <w:bCs/>
                <w:szCs w:val="72"/>
              </w:rPr>
            </w:pPr>
            <w:r w:rsidRPr="00BB2428">
              <w:rPr>
                <w:rFonts w:ascii="Arial" w:hAnsi="Arial" w:cs="Arial"/>
                <w:b/>
                <w:bCs/>
                <w:szCs w:val="72"/>
              </w:rPr>
              <w:t>14</w:t>
            </w:r>
          </w:p>
        </w:tc>
      </w:tr>
    </w:tbl>
    <w:p w:rsidR="00914561" w:rsidRPr="00BB2428" w:rsidRDefault="00914561" w:rsidP="00914561">
      <w:pPr>
        <w:pStyle w:val="Default"/>
        <w:numPr>
          <w:ilvl w:val="0"/>
          <w:numId w:val="1"/>
        </w:numPr>
        <w:spacing w:before="100" w:after="240"/>
        <w:rPr>
          <w:rFonts w:ascii="Arial" w:hAnsi="Arial" w:cs="Arial"/>
          <w:b/>
          <w:bCs/>
          <w:szCs w:val="72"/>
        </w:rPr>
      </w:pPr>
      <w:r w:rsidRPr="00BB2428">
        <w:rPr>
          <w:rFonts w:ascii="Arial" w:hAnsi="Arial" w:cs="Arial"/>
          <w:b/>
          <w:bCs/>
          <w:szCs w:val="72"/>
        </w:rPr>
        <w:t>y = 3x+1</w:t>
      </w:r>
      <w:r w:rsidRPr="00BB2428">
        <w:rPr>
          <w:rFonts w:ascii="Arial" w:hAnsi="Arial" w:cs="Arial"/>
          <w:b/>
          <w:bCs/>
          <w:szCs w:val="72"/>
        </w:rPr>
        <w:tab/>
      </w:r>
      <w:r w:rsidRPr="00BB2428">
        <w:rPr>
          <w:rFonts w:ascii="Arial" w:hAnsi="Arial" w:cs="Arial"/>
          <w:b/>
          <w:bCs/>
          <w:szCs w:val="72"/>
        </w:rPr>
        <w:tab/>
      </w:r>
      <w:r w:rsidRPr="00BB2428">
        <w:rPr>
          <w:rFonts w:ascii="Arial" w:hAnsi="Arial" w:cs="Arial"/>
          <w:b/>
          <w:bCs/>
          <w:szCs w:val="72"/>
        </w:rPr>
        <w:tab/>
        <w:t xml:space="preserve">II. </w:t>
      </w:r>
    </w:p>
    <w:p w:rsidR="00914561" w:rsidRPr="00BB2428" w:rsidRDefault="00914561" w:rsidP="00914561">
      <w:pPr>
        <w:pStyle w:val="Default"/>
        <w:spacing w:before="100" w:after="240"/>
        <w:rPr>
          <w:rFonts w:ascii="Arial" w:hAnsi="Arial" w:cs="Arial"/>
          <w:b/>
          <w:bCs/>
          <w:szCs w:val="72"/>
        </w:rPr>
      </w:pPr>
    </w:p>
    <w:p w:rsidR="00914561" w:rsidRDefault="00914561" w:rsidP="00914561">
      <w:pPr>
        <w:pStyle w:val="Default"/>
        <w:spacing w:before="100" w:after="240"/>
        <w:rPr>
          <w:rFonts w:ascii="Arial" w:hAnsi="Arial" w:cs="Arial"/>
          <w:b/>
          <w:bCs/>
          <w:szCs w:val="72"/>
        </w:rPr>
      </w:pPr>
    </w:p>
    <w:p w:rsidR="00914561" w:rsidRDefault="00914561" w:rsidP="00914561">
      <w:pPr>
        <w:pStyle w:val="Default"/>
        <w:spacing w:before="100" w:after="240"/>
        <w:rPr>
          <w:rFonts w:ascii="Arial" w:hAnsi="Arial" w:cs="Arial"/>
          <w:b/>
          <w:bCs/>
          <w:szCs w:val="72"/>
        </w:rPr>
      </w:pPr>
    </w:p>
    <w:p w:rsidR="00914561" w:rsidRPr="00BB2428" w:rsidRDefault="00914561" w:rsidP="00914561">
      <w:pPr>
        <w:pStyle w:val="Default"/>
        <w:spacing w:before="100" w:after="240"/>
        <w:rPr>
          <w:rFonts w:ascii="Arial" w:hAnsi="Arial" w:cs="Arial"/>
          <w:b/>
          <w:bCs/>
          <w:szCs w:val="72"/>
        </w:rPr>
      </w:pPr>
      <w:r>
        <w:rPr>
          <w:rFonts w:ascii="Arial" w:hAnsi="Arial" w:cs="Arial"/>
          <w:b/>
          <w:bCs/>
          <w:noProof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41275</wp:posOffset>
            </wp:positionV>
            <wp:extent cx="3756660" cy="3623310"/>
            <wp:effectExtent l="19050" t="0" r="0" b="0"/>
            <wp:wrapTight wrapText="bothSides">
              <wp:wrapPolygon edited="0">
                <wp:start x="-110" y="0"/>
                <wp:lineTo x="-110" y="21464"/>
                <wp:lineTo x="21578" y="21464"/>
                <wp:lineTo x="21578" y="0"/>
                <wp:lineTo x="-110" y="0"/>
              </wp:wrapPolygon>
            </wp:wrapTight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362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BB2428">
        <w:rPr>
          <w:rFonts w:ascii="Arial" w:hAnsi="Arial" w:cs="Arial"/>
          <w:b/>
          <w:bCs/>
          <w:szCs w:val="72"/>
        </w:rPr>
        <w:t>III.</w:t>
      </w:r>
      <w:proofErr w:type="gramEnd"/>
      <w:r w:rsidRPr="00BB2428">
        <w:rPr>
          <w:rFonts w:ascii="Arial" w:hAnsi="Arial" w:cs="Arial"/>
          <w:b/>
          <w:bCs/>
          <w:szCs w:val="72"/>
        </w:rPr>
        <w:t xml:space="preserve"> </w:t>
      </w:r>
    </w:p>
    <w:p w:rsidR="00914561" w:rsidRPr="00BB2428" w:rsidRDefault="00914561" w:rsidP="00914561">
      <w:pPr>
        <w:pStyle w:val="Default"/>
        <w:spacing w:before="100" w:after="240"/>
        <w:rPr>
          <w:rFonts w:ascii="Arial" w:hAnsi="Arial" w:cs="Arial"/>
          <w:b/>
          <w:bCs/>
          <w:szCs w:val="72"/>
        </w:rPr>
      </w:pPr>
    </w:p>
    <w:p w:rsidR="00914561" w:rsidRPr="00BB2428" w:rsidRDefault="00914561" w:rsidP="00914561">
      <w:pPr>
        <w:pStyle w:val="Default"/>
        <w:spacing w:before="100" w:after="240"/>
        <w:rPr>
          <w:rFonts w:ascii="Arial" w:hAnsi="Arial" w:cs="Arial"/>
          <w:szCs w:val="72"/>
        </w:rPr>
      </w:pPr>
    </w:p>
    <w:p w:rsidR="00914561" w:rsidRPr="00BB2428" w:rsidRDefault="00914561" w:rsidP="00914561">
      <w:pPr>
        <w:autoSpaceDE w:val="0"/>
        <w:autoSpaceDN w:val="0"/>
        <w:adjustRightInd w:val="0"/>
        <w:spacing w:before="100" w:after="480"/>
        <w:rPr>
          <w:rFonts w:ascii="Arial" w:hAnsi="Arial" w:cs="Arial"/>
          <w:color w:val="000000"/>
          <w:szCs w:val="72"/>
        </w:rPr>
      </w:pPr>
    </w:p>
    <w:p w:rsidR="00914561" w:rsidRDefault="00914561" w:rsidP="00914561">
      <w:pPr>
        <w:autoSpaceDE w:val="0"/>
        <w:autoSpaceDN w:val="0"/>
        <w:adjustRightInd w:val="0"/>
        <w:spacing w:before="100" w:after="480"/>
        <w:rPr>
          <w:rFonts w:ascii="Arial" w:hAnsi="Arial" w:cs="Arial"/>
          <w:color w:val="000000"/>
          <w:sz w:val="72"/>
          <w:szCs w:val="72"/>
        </w:rPr>
      </w:pPr>
    </w:p>
    <w:p w:rsidR="00914561" w:rsidRPr="00914561" w:rsidRDefault="00914561" w:rsidP="00914561">
      <w:pPr>
        <w:rPr>
          <w:color w:val="000000" w:themeColor="text1"/>
          <w:sz w:val="32"/>
        </w:rPr>
      </w:pPr>
    </w:p>
    <w:sectPr w:rsidR="00914561" w:rsidRPr="00914561" w:rsidSect="009145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568E"/>
    <w:multiLevelType w:val="hybridMultilevel"/>
    <w:tmpl w:val="F8FED718"/>
    <w:lvl w:ilvl="0" w:tplc="E2BE2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14561"/>
    <w:rsid w:val="000E1F5C"/>
    <w:rsid w:val="00175F18"/>
    <w:rsid w:val="0032254D"/>
    <w:rsid w:val="00510E2C"/>
    <w:rsid w:val="006A4F66"/>
    <w:rsid w:val="00914561"/>
    <w:rsid w:val="00947A2F"/>
    <w:rsid w:val="00EC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45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1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aeggleston</dc:creator>
  <cp:keywords/>
  <dc:description/>
  <cp:lastModifiedBy>Stacey Johnson</cp:lastModifiedBy>
  <cp:revision>2</cp:revision>
  <dcterms:created xsi:type="dcterms:W3CDTF">2013-05-22T01:02:00Z</dcterms:created>
  <dcterms:modified xsi:type="dcterms:W3CDTF">2013-07-26T14:50:00Z</dcterms:modified>
</cp:coreProperties>
</file>